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456" w:rsidRPr="00D93958" w:rsidRDefault="00736456" w:rsidP="00736456">
      <w:pPr>
        <w:pStyle w:val="6"/>
        <w:spacing w:after="160" w:line="240" w:lineRule="auto"/>
        <w:jc w:val="left"/>
        <w:rPr>
          <w:rFonts w:ascii="黑体" w:eastAsia="黑体" w:hAnsi="黑体" w:cs="黑体"/>
          <w:sz w:val="28"/>
          <w:szCs w:val="28"/>
          <w:lang w:val="en-GB"/>
        </w:rPr>
      </w:pPr>
      <w:r w:rsidRPr="00D93958">
        <w:rPr>
          <w:rFonts w:ascii="黑体" w:eastAsia="黑体" w:hAnsi="黑体" w:cs="黑体" w:hint="eastAsia"/>
          <w:sz w:val="28"/>
          <w:szCs w:val="28"/>
        </w:rPr>
        <w:t>参考文献</w:t>
      </w:r>
    </w:p>
    <w:p w:rsidR="00736456" w:rsidRPr="00D93958" w:rsidRDefault="00736456" w:rsidP="00736456">
      <w:pPr>
        <w:pStyle w:val="a"/>
        <w:numPr>
          <w:ilvl w:val="0"/>
          <w:numId w:val="0"/>
        </w:numPr>
        <w:tabs>
          <w:tab w:val="left" w:pos="425"/>
        </w:tabs>
        <w:spacing w:line="360" w:lineRule="auto"/>
        <w:ind w:left="473" w:hangingChars="217" w:hanging="473"/>
        <w:rPr>
          <w:rFonts w:eastAsia="宋体"/>
          <w:sz w:val="21"/>
          <w:szCs w:val="21"/>
        </w:rPr>
      </w:pPr>
      <w:r w:rsidRPr="00D93958">
        <w:rPr>
          <w:rFonts w:eastAsia="宋体"/>
          <w:sz w:val="21"/>
          <w:szCs w:val="21"/>
        </w:rPr>
        <w:t>[1]</w:t>
      </w:r>
      <w:commentRangeStart w:id="0"/>
      <w:r w:rsidRPr="00D93958">
        <w:rPr>
          <w:rFonts w:eastAsia="宋体"/>
          <w:sz w:val="21"/>
          <w:szCs w:val="21"/>
        </w:rPr>
        <w:t xml:space="preserve"> </w:t>
      </w:r>
      <w:r w:rsidRPr="00D93958">
        <w:rPr>
          <w:rFonts w:eastAsia="宋体"/>
          <w:sz w:val="21"/>
          <w:szCs w:val="21"/>
        </w:rPr>
        <w:t>国钧，葛晓霞，林中达．基于最小变动成本煤耗率的电厂负荷优化分配</w:t>
      </w:r>
      <w:r w:rsidRPr="00D93958">
        <w:rPr>
          <w:rFonts w:eastAsia="宋体"/>
          <w:sz w:val="21"/>
          <w:szCs w:val="21"/>
        </w:rPr>
        <w:t>[J]</w:t>
      </w:r>
      <w:r w:rsidRPr="00D93958">
        <w:rPr>
          <w:rFonts w:eastAsia="宋体"/>
          <w:sz w:val="21"/>
          <w:szCs w:val="21"/>
        </w:rPr>
        <w:t>．动力工程学报，</w:t>
      </w:r>
      <w:r w:rsidRPr="00D93958">
        <w:rPr>
          <w:rFonts w:eastAsia="宋体"/>
          <w:sz w:val="21"/>
          <w:szCs w:val="21"/>
        </w:rPr>
        <w:t>2009,</w:t>
      </w:r>
      <w:r>
        <w:rPr>
          <w:rFonts w:eastAsia="宋体" w:hint="eastAsia"/>
          <w:sz w:val="21"/>
          <w:szCs w:val="21"/>
        </w:rPr>
        <w:t xml:space="preserve"> </w:t>
      </w:r>
      <w:r w:rsidRPr="00D93958">
        <w:rPr>
          <w:rFonts w:eastAsia="宋体"/>
          <w:sz w:val="21"/>
          <w:szCs w:val="21"/>
        </w:rPr>
        <w:t>29</w:t>
      </w:r>
      <w:r>
        <w:rPr>
          <w:rFonts w:eastAsia="宋体" w:hint="eastAsia"/>
          <w:sz w:val="21"/>
          <w:szCs w:val="21"/>
        </w:rPr>
        <w:t xml:space="preserve"> </w:t>
      </w:r>
      <w:r w:rsidRPr="00D93958">
        <w:rPr>
          <w:rFonts w:eastAsia="宋体"/>
          <w:sz w:val="21"/>
          <w:szCs w:val="21"/>
        </w:rPr>
        <w:t>(10):</w:t>
      </w:r>
      <w:proofErr w:type="gramStart"/>
      <w:r w:rsidRPr="00D93958">
        <w:rPr>
          <w:rFonts w:eastAsia="宋体"/>
          <w:sz w:val="21"/>
          <w:szCs w:val="21"/>
        </w:rPr>
        <w:t>930-935.</w:t>
      </w:r>
      <w:commentRangeEnd w:id="0"/>
      <w:proofErr w:type="gramEnd"/>
      <w:r w:rsidR="007A03B2">
        <w:rPr>
          <w:rStyle w:val="a4"/>
          <w:rFonts w:eastAsia="宋体"/>
          <w:spacing w:val="0"/>
        </w:rPr>
        <w:commentReference w:id="0"/>
      </w:r>
    </w:p>
    <w:p w:rsidR="00736456" w:rsidRPr="00D93958" w:rsidRDefault="00736456" w:rsidP="00736456">
      <w:pPr>
        <w:ind w:left="315" w:hangingChars="150" w:hanging="315"/>
        <w:rPr>
          <w:szCs w:val="21"/>
        </w:rPr>
      </w:pPr>
      <w:r w:rsidRPr="00D93958">
        <w:rPr>
          <w:szCs w:val="21"/>
        </w:rPr>
        <w:t xml:space="preserve">   G</w:t>
      </w:r>
      <w:commentRangeStart w:id="1"/>
      <w:r w:rsidRPr="00D93958">
        <w:rPr>
          <w:sz w:val="15"/>
          <w:szCs w:val="15"/>
        </w:rPr>
        <w:t>UO</w:t>
      </w:r>
      <w:commentRangeEnd w:id="1"/>
      <w:r>
        <w:rPr>
          <w:rStyle w:val="a4"/>
        </w:rPr>
        <w:commentReference w:id="1"/>
      </w:r>
      <w:r w:rsidRPr="00D93958">
        <w:rPr>
          <w:szCs w:val="21"/>
        </w:rPr>
        <w:t xml:space="preserve"> J,</w:t>
      </w:r>
      <w:r>
        <w:rPr>
          <w:rFonts w:hint="eastAsia"/>
          <w:szCs w:val="21"/>
        </w:rPr>
        <w:t xml:space="preserve"> </w:t>
      </w:r>
      <w:commentRangeStart w:id="2"/>
      <w:r w:rsidRPr="00D93958">
        <w:rPr>
          <w:szCs w:val="21"/>
        </w:rPr>
        <w:t>G</w:t>
      </w:r>
      <w:r w:rsidRPr="00D93958">
        <w:rPr>
          <w:sz w:val="15"/>
          <w:szCs w:val="15"/>
        </w:rPr>
        <w:t>E</w:t>
      </w:r>
      <w:r w:rsidRPr="00D93958">
        <w:rPr>
          <w:szCs w:val="21"/>
        </w:rPr>
        <w:t xml:space="preserve"> X </w:t>
      </w:r>
      <w:proofErr w:type="spellStart"/>
      <w:r w:rsidRPr="00D93958">
        <w:rPr>
          <w:szCs w:val="21"/>
        </w:rPr>
        <w:t>X</w:t>
      </w:r>
      <w:commentRangeEnd w:id="2"/>
      <w:proofErr w:type="spellEnd"/>
      <w:r>
        <w:rPr>
          <w:rStyle w:val="a4"/>
        </w:rPr>
        <w:commentReference w:id="2"/>
      </w:r>
      <w:r>
        <w:rPr>
          <w:rFonts w:hint="eastAsia"/>
          <w:szCs w:val="21"/>
        </w:rPr>
        <w:t xml:space="preserve"> </w:t>
      </w:r>
      <w:r w:rsidRPr="00D93958">
        <w:rPr>
          <w:szCs w:val="21"/>
        </w:rPr>
        <w:t>,</w:t>
      </w:r>
      <w:r>
        <w:rPr>
          <w:rFonts w:hint="eastAsia"/>
          <w:szCs w:val="21"/>
        </w:rPr>
        <w:t xml:space="preserve"> </w:t>
      </w:r>
      <w:r w:rsidRPr="00D93958">
        <w:rPr>
          <w:szCs w:val="21"/>
        </w:rPr>
        <w:t>L</w:t>
      </w:r>
      <w:r w:rsidRPr="00D93958">
        <w:rPr>
          <w:sz w:val="15"/>
          <w:szCs w:val="15"/>
        </w:rPr>
        <w:t>ING</w:t>
      </w:r>
      <w:r w:rsidRPr="00D93958">
        <w:rPr>
          <w:szCs w:val="21"/>
        </w:rPr>
        <w:t xml:space="preserve"> Z D.</w:t>
      </w:r>
      <w:r>
        <w:rPr>
          <w:rFonts w:hint="eastAsia"/>
          <w:szCs w:val="21"/>
        </w:rPr>
        <w:t xml:space="preserve"> </w:t>
      </w:r>
      <w:commentRangeStart w:id="3"/>
      <w:r w:rsidRPr="00D93958">
        <w:rPr>
          <w:szCs w:val="21"/>
        </w:rPr>
        <w:t>The optimal load distribution in power plant based on the minimum variable cost coal consumption</w:t>
      </w:r>
      <w:r w:rsidRPr="00D93958">
        <w:rPr>
          <w:rFonts w:hint="eastAsia"/>
          <w:szCs w:val="21"/>
        </w:rPr>
        <w:t xml:space="preserve"> </w:t>
      </w:r>
      <w:r w:rsidRPr="00D93958">
        <w:rPr>
          <w:szCs w:val="21"/>
        </w:rPr>
        <w:t>rate</w:t>
      </w:r>
      <w:commentRangeEnd w:id="3"/>
      <w:r>
        <w:rPr>
          <w:rStyle w:val="a4"/>
        </w:rPr>
        <w:commentReference w:id="3"/>
      </w:r>
      <w:r>
        <w:rPr>
          <w:rFonts w:hint="eastAsia"/>
          <w:szCs w:val="21"/>
        </w:rPr>
        <w:t xml:space="preserve"> </w:t>
      </w:r>
      <w:r w:rsidRPr="00D93958">
        <w:rPr>
          <w:szCs w:val="21"/>
        </w:rPr>
        <w:t>[J].</w:t>
      </w:r>
      <w:commentRangeStart w:id="4"/>
      <w:r w:rsidRPr="00D93958">
        <w:rPr>
          <w:szCs w:val="21"/>
        </w:rPr>
        <w:t xml:space="preserve">Journal of </w:t>
      </w:r>
      <w:r>
        <w:rPr>
          <w:rFonts w:hint="eastAsia"/>
          <w:szCs w:val="21"/>
        </w:rPr>
        <w:t>P</w:t>
      </w:r>
      <w:r w:rsidRPr="00D93958">
        <w:rPr>
          <w:szCs w:val="21"/>
        </w:rPr>
        <w:t xml:space="preserve">ower </w:t>
      </w:r>
      <w:r>
        <w:rPr>
          <w:rFonts w:hint="eastAsia"/>
          <w:szCs w:val="21"/>
        </w:rPr>
        <w:t>E</w:t>
      </w:r>
      <w:r w:rsidRPr="00D93958">
        <w:rPr>
          <w:szCs w:val="21"/>
        </w:rPr>
        <w:t>ngineering</w:t>
      </w:r>
      <w:commentRangeEnd w:id="4"/>
      <w:r>
        <w:rPr>
          <w:rStyle w:val="a4"/>
        </w:rPr>
        <w:commentReference w:id="4"/>
      </w:r>
      <w:r w:rsidRPr="00D93958">
        <w:rPr>
          <w:szCs w:val="21"/>
        </w:rPr>
        <w:t>.</w:t>
      </w:r>
      <w:r>
        <w:rPr>
          <w:rFonts w:hint="eastAsia"/>
          <w:szCs w:val="21"/>
        </w:rPr>
        <w:t xml:space="preserve"> </w:t>
      </w:r>
      <w:commentRangeStart w:id="5"/>
      <w:r w:rsidRPr="00D93958">
        <w:rPr>
          <w:szCs w:val="21"/>
        </w:rPr>
        <w:t>2009,</w:t>
      </w:r>
      <w:r>
        <w:rPr>
          <w:rFonts w:hint="eastAsia"/>
          <w:szCs w:val="21"/>
        </w:rPr>
        <w:t xml:space="preserve"> </w:t>
      </w:r>
      <w:r w:rsidRPr="00D93958">
        <w:rPr>
          <w:szCs w:val="21"/>
        </w:rPr>
        <w:t>29(10):930-935</w:t>
      </w:r>
      <w:commentRangeEnd w:id="5"/>
      <w:r>
        <w:rPr>
          <w:rStyle w:val="a4"/>
        </w:rPr>
        <w:commentReference w:id="5"/>
      </w:r>
      <w:r w:rsidRPr="00D93958">
        <w:rPr>
          <w:szCs w:val="21"/>
        </w:rPr>
        <w:t>.</w:t>
      </w:r>
      <w:r>
        <w:rPr>
          <w:rFonts w:hint="eastAsia"/>
          <w:szCs w:val="21"/>
        </w:rPr>
        <w:t xml:space="preserve"> (</w:t>
      </w:r>
      <w:proofErr w:type="gramStart"/>
      <w:r>
        <w:rPr>
          <w:rFonts w:hint="eastAsia"/>
          <w:szCs w:val="21"/>
        </w:rPr>
        <w:t>in</w:t>
      </w:r>
      <w:proofErr w:type="gramEnd"/>
      <w:r>
        <w:rPr>
          <w:rFonts w:hint="eastAsia"/>
          <w:szCs w:val="21"/>
        </w:rPr>
        <w:t xml:space="preserve"> Chinese)</w:t>
      </w:r>
    </w:p>
    <w:p w:rsidR="00350D8F" w:rsidRDefault="00D55E76" w:rsidP="00350D8F">
      <w:pPr>
        <w:rPr>
          <w:color w:val="000000"/>
        </w:rPr>
      </w:pPr>
      <w:r>
        <w:rPr>
          <w:rFonts w:hint="eastAsia"/>
        </w:rPr>
        <w:t>[</w:t>
      </w:r>
      <w:r>
        <w:t>2</w:t>
      </w:r>
      <w:commentRangeStart w:id="6"/>
      <w:r>
        <w:rPr>
          <w:rFonts w:hint="eastAsia"/>
        </w:rPr>
        <w:t>]</w:t>
      </w:r>
      <w:r w:rsidR="00350D8F">
        <w:rPr>
          <w:color w:val="000000"/>
        </w:rPr>
        <w:t>李明明</w:t>
      </w:r>
      <w:r w:rsidR="00350D8F">
        <w:rPr>
          <w:color w:val="000000"/>
        </w:rPr>
        <w:t xml:space="preserve">. </w:t>
      </w:r>
      <w:r w:rsidR="00350D8F">
        <w:rPr>
          <w:color w:val="000000"/>
        </w:rPr>
        <w:t>新型压电约束层阻尼结构及其在整星隔振中的应用</w:t>
      </w:r>
      <w:r w:rsidR="00350D8F">
        <w:rPr>
          <w:color w:val="000000"/>
        </w:rPr>
        <w:t>[D].</w:t>
      </w:r>
      <w:r w:rsidR="00350D8F">
        <w:rPr>
          <w:rFonts w:hint="eastAsia"/>
          <w:color w:val="000000"/>
        </w:rPr>
        <w:t xml:space="preserve"> </w:t>
      </w:r>
      <w:r w:rsidR="00350D8F">
        <w:rPr>
          <w:color w:val="000000"/>
        </w:rPr>
        <w:t>哈尔滨工业大学</w:t>
      </w:r>
      <w:r w:rsidR="00350D8F">
        <w:rPr>
          <w:color w:val="000000"/>
        </w:rPr>
        <w:t>,</w:t>
      </w:r>
      <w:r w:rsidR="00350D8F">
        <w:rPr>
          <w:rFonts w:hint="eastAsia"/>
          <w:color w:val="000000"/>
        </w:rPr>
        <w:t xml:space="preserve"> </w:t>
      </w:r>
      <w:r w:rsidR="00350D8F">
        <w:rPr>
          <w:color w:val="000000"/>
        </w:rPr>
        <w:t>2014.</w:t>
      </w:r>
      <w:commentRangeEnd w:id="6"/>
      <w:r w:rsidR="00350D8F">
        <w:rPr>
          <w:rStyle w:val="a4"/>
        </w:rPr>
        <w:commentReference w:id="6"/>
      </w:r>
    </w:p>
    <w:p w:rsidR="00350D8F" w:rsidRPr="00350D8F" w:rsidRDefault="00350D8F"/>
    <w:p w:rsidR="00350D8F" w:rsidRDefault="00D55E76" w:rsidP="00350D8F">
      <w:pPr>
        <w:spacing w:after="50"/>
        <w:rPr>
          <w:color w:val="000000"/>
        </w:rPr>
      </w:pPr>
      <w:r>
        <w:rPr>
          <w:rFonts w:hint="eastAsia"/>
        </w:rPr>
        <w:t>[3]</w:t>
      </w:r>
      <w:r w:rsidR="00350D8F" w:rsidRPr="00350D8F">
        <w:rPr>
          <w:color w:val="000000"/>
        </w:rPr>
        <w:t xml:space="preserve"> </w:t>
      </w:r>
      <w:commentRangeStart w:id="7"/>
      <w:r w:rsidR="00350D8F" w:rsidRPr="00FE421E">
        <w:rPr>
          <w:color w:val="000000"/>
        </w:rPr>
        <w:t>L</w:t>
      </w:r>
      <w:r w:rsidR="00350D8F" w:rsidRPr="00FE421E">
        <w:rPr>
          <w:color w:val="000000"/>
          <w:sz w:val="15"/>
          <w:szCs w:val="15"/>
        </w:rPr>
        <w:t>AN</w:t>
      </w:r>
      <w:r w:rsidR="00350D8F" w:rsidRPr="00FE421E">
        <w:rPr>
          <w:color w:val="000000"/>
        </w:rPr>
        <w:t xml:space="preserve"> W Y, Z</w:t>
      </w:r>
      <w:r w:rsidR="00350D8F" w:rsidRPr="00FE421E">
        <w:rPr>
          <w:color w:val="000000"/>
          <w:sz w:val="15"/>
          <w:szCs w:val="15"/>
        </w:rPr>
        <w:t>HOU</w:t>
      </w:r>
      <w:r w:rsidR="00350D8F" w:rsidRPr="00FE421E">
        <w:rPr>
          <w:color w:val="000000"/>
        </w:rPr>
        <w:t xml:space="preserve"> X, W</w:t>
      </w:r>
      <w:r w:rsidR="00350D8F" w:rsidRPr="00FE421E">
        <w:rPr>
          <w:color w:val="000000"/>
          <w:sz w:val="15"/>
          <w:szCs w:val="15"/>
        </w:rPr>
        <w:t>ANG</w:t>
      </w:r>
      <w:r w:rsidR="00350D8F" w:rsidRPr="00FE421E">
        <w:rPr>
          <w:color w:val="000000"/>
        </w:rPr>
        <w:t xml:space="preserve"> D. Output regulation for linear systems with input saturation by composite</w:t>
      </w:r>
      <w:r w:rsidR="00350D8F">
        <w:rPr>
          <w:color w:val="000000"/>
        </w:rPr>
        <w:t xml:space="preserve"> nonlinear feedback control[C]//</w:t>
      </w:r>
      <w:r w:rsidR="00350D8F" w:rsidRPr="00FE421E">
        <w:rPr>
          <w:color w:val="000000"/>
        </w:rPr>
        <w:t>Proceedings of the 29th Chinese Control Conference, Beijing, China, July, 2010: 660-664.</w:t>
      </w:r>
      <w:commentRangeEnd w:id="7"/>
      <w:r w:rsidR="00350D8F">
        <w:rPr>
          <w:rStyle w:val="a4"/>
        </w:rPr>
        <w:commentReference w:id="7"/>
      </w:r>
    </w:p>
    <w:p w:rsidR="00350D8F" w:rsidRPr="00FE421E" w:rsidRDefault="00350D8F" w:rsidP="00350D8F">
      <w:pPr>
        <w:spacing w:after="50"/>
        <w:rPr>
          <w:color w:val="000000"/>
        </w:rPr>
      </w:pPr>
    </w:p>
    <w:p w:rsidR="00350D8F" w:rsidRDefault="00350D8F" w:rsidP="00350D8F">
      <w:pPr>
        <w:tabs>
          <w:tab w:val="left" w:pos="0"/>
        </w:tabs>
        <w:spacing w:after="50"/>
        <w:rPr>
          <w:color w:val="000000"/>
        </w:rPr>
      </w:pPr>
      <w:r>
        <w:rPr>
          <w:rFonts w:hint="eastAsia"/>
        </w:rPr>
        <w:t>[4]</w:t>
      </w:r>
      <w:r w:rsidRPr="00350D8F">
        <w:rPr>
          <w:color w:val="000000"/>
        </w:rPr>
        <w:t xml:space="preserve"> </w:t>
      </w:r>
      <w:r>
        <w:rPr>
          <w:color w:val="000000"/>
        </w:rPr>
        <w:t>H</w:t>
      </w:r>
      <w:r w:rsidRPr="003F761A">
        <w:rPr>
          <w:color w:val="000000"/>
          <w:sz w:val="15"/>
          <w:szCs w:val="15"/>
        </w:rPr>
        <w:t xml:space="preserve">E </w:t>
      </w:r>
      <w:r>
        <w:rPr>
          <w:color w:val="000000"/>
        </w:rPr>
        <w:t>Y, C</w:t>
      </w:r>
      <w:r w:rsidRPr="003F761A">
        <w:rPr>
          <w:color w:val="000000"/>
          <w:sz w:val="15"/>
          <w:szCs w:val="15"/>
        </w:rPr>
        <w:t>HEN</w:t>
      </w:r>
      <w:r>
        <w:rPr>
          <w:color w:val="000000"/>
        </w:rPr>
        <w:t xml:space="preserve"> B M, W</w:t>
      </w:r>
      <w:r w:rsidRPr="003F761A">
        <w:rPr>
          <w:color w:val="000000"/>
          <w:sz w:val="15"/>
          <w:szCs w:val="15"/>
        </w:rPr>
        <w:t>U</w:t>
      </w:r>
      <w:r>
        <w:rPr>
          <w:color w:val="000000"/>
        </w:rPr>
        <w:t xml:space="preserve"> C. Composite nonlinear control with state and measurement feedback for general multivariable systems with input </w:t>
      </w:r>
      <w:proofErr w:type="gramStart"/>
      <w:r>
        <w:rPr>
          <w:color w:val="000000"/>
        </w:rPr>
        <w:t>saturation</w:t>
      </w:r>
      <w:commentRangeStart w:id="8"/>
      <w:r>
        <w:rPr>
          <w:color w:val="000000"/>
        </w:rPr>
        <w:t>[</w:t>
      </w:r>
      <w:proofErr w:type="gramEnd"/>
      <w:r>
        <w:rPr>
          <w:color w:val="000000"/>
        </w:rPr>
        <w:t>J]</w:t>
      </w:r>
      <w:commentRangeEnd w:id="8"/>
      <w:r w:rsidR="00763040">
        <w:rPr>
          <w:rStyle w:val="a4"/>
        </w:rPr>
        <w:commentReference w:id="8"/>
      </w:r>
      <w:r>
        <w:rPr>
          <w:color w:val="000000"/>
        </w:rPr>
        <w:t>. Systems &amp; Control Letters, 2005(54):</w:t>
      </w:r>
      <w:r>
        <w:rPr>
          <w:rFonts w:hint="eastAsia"/>
          <w:color w:val="000000"/>
        </w:rPr>
        <w:t xml:space="preserve"> </w:t>
      </w:r>
      <w:r>
        <w:rPr>
          <w:color w:val="000000"/>
        </w:rPr>
        <w:t>455-469</w:t>
      </w:r>
      <w:r>
        <w:rPr>
          <w:color w:val="000000"/>
        </w:rPr>
        <w:t>．</w:t>
      </w:r>
    </w:p>
    <w:p w:rsidR="00350D8F" w:rsidRDefault="00350D8F">
      <w:r>
        <w:rPr>
          <w:rFonts w:hint="eastAsia"/>
        </w:rPr>
        <w:t>[5]</w:t>
      </w:r>
      <w:r>
        <w:rPr>
          <w:rFonts w:hint="eastAsia"/>
        </w:rPr>
        <w:t>尽量不要出现网页作为参考文献。</w:t>
      </w:r>
    </w:p>
    <w:p w:rsidR="00350D8F" w:rsidRPr="00350D8F" w:rsidRDefault="00350D8F"/>
    <w:sectPr w:rsidR="00350D8F" w:rsidRPr="00350D8F" w:rsidSect="00154A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HP" w:date="2018-04-20T14:58:00Z" w:initials="H">
    <w:p w:rsidR="007A03B2" w:rsidRDefault="007A03B2">
      <w:pPr>
        <w:pStyle w:val="a5"/>
      </w:pPr>
      <w:r>
        <w:rPr>
          <w:rStyle w:val="a4"/>
        </w:rPr>
        <w:annotationRef/>
      </w:r>
      <w:r>
        <w:rPr>
          <w:rFonts w:hint="eastAsia"/>
        </w:rPr>
        <w:t>中文期刊作为参考文献时要有对应的英文。</w:t>
      </w:r>
    </w:p>
  </w:comment>
  <w:comment w:id="1" w:author="HP" w:date="2018-04-20T14:48:00Z" w:initials="H">
    <w:p w:rsidR="00736456" w:rsidRDefault="00736456">
      <w:pPr>
        <w:pStyle w:val="a5"/>
      </w:pPr>
      <w:r>
        <w:rPr>
          <w:rStyle w:val="a4"/>
        </w:rPr>
        <w:annotationRef/>
      </w:r>
      <w:r>
        <w:rPr>
          <w:rFonts w:hint="eastAsia"/>
        </w:rPr>
        <w:t>小号大写</w:t>
      </w:r>
    </w:p>
  </w:comment>
  <w:comment w:id="2" w:author="HP" w:date="2018-04-20T14:48:00Z" w:initials="H">
    <w:p w:rsidR="00736456" w:rsidRDefault="00736456">
      <w:pPr>
        <w:pStyle w:val="a5"/>
      </w:pPr>
      <w:r>
        <w:rPr>
          <w:rStyle w:val="a4"/>
        </w:rPr>
        <w:annotationRef/>
      </w:r>
      <w:r>
        <w:rPr>
          <w:rFonts w:hint="eastAsia"/>
        </w:rPr>
        <w:t>姓前名后，名</w:t>
      </w:r>
      <w:proofErr w:type="gramStart"/>
      <w:r>
        <w:rPr>
          <w:rFonts w:hint="eastAsia"/>
        </w:rPr>
        <w:t>缩写成首字母</w:t>
      </w:r>
      <w:proofErr w:type="gramEnd"/>
      <w:r>
        <w:rPr>
          <w:rFonts w:hint="eastAsia"/>
        </w:rPr>
        <w:t>，大写。</w:t>
      </w:r>
    </w:p>
  </w:comment>
  <w:comment w:id="3" w:author="HP" w:date="2018-04-20T14:49:00Z" w:initials="H">
    <w:p w:rsidR="00736456" w:rsidRDefault="00736456">
      <w:pPr>
        <w:pStyle w:val="a5"/>
      </w:pPr>
      <w:r>
        <w:rPr>
          <w:rStyle w:val="a4"/>
        </w:rPr>
        <w:annotationRef/>
      </w:r>
      <w:r>
        <w:rPr>
          <w:rFonts w:hint="eastAsia"/>
        </w:rPr>
        <w:t>除了人名和缩写的算法以及句子首字母外，均小写</w:t>
      </w:r>
    </w:p>
  </w:comment>
  <w:comment w:id="4" w:author="HP" w:date="2018-04-20T14:50:00Z" w:initials="H">
    <w:p w:rsidR="00736456" w:rsidRDefault="00736456">
      <w:pPr>
        <w:pStyle w:val="a5"/>
      </w:pPr>
      <w:r>
        <w:rPr>
          <w:rStyle w:val="a4"/>
        </w:rPr>
        <w:annotationRef/>
      </w:r>
      <w:proofErr w:type="gramStart"/>
      <w:r>
        <w:rPr>
          <w:rFonts w:hint="eastAsia"/>
        </w:rPr>
        <w:t>实义词都式首</w:t>
      </w:r>
      <w:proofErr w:type="gramEnd"/>
      <w:r>
        <w:rPr>
          <w:rFonts w:hint="eastAsia"/>
        </w:rPr>
        <w:t>字母大写</w:t>
      </w:r>
    </w:p>
  </w:comment>
  <w:comment w:id="5" w:author="HP" w:date="2018-04-20T14:50:00Z" w:initials="H">
    <w:p w:rsidR="00736456" w:rsidRDefault="00736456">
      <w:pPr>
        <w:pStyle w:val="a5"/>
      </w:pPr>
      <w:r>
        <w:rPr>
          <w:rStyle w:val="a4"/>
        </w:rPr>
        <w:annotationRef/>
      </w:r>
      <w:r>
        <w:rPr>
          <w:rFonts w:hint="eastAsia"/>
        </w:rPr>
        <w:t>年，卷（期）：页码</w:t>
      </w:r>
    </w:p>
  </w:comment>
  <w:comment w:id="6" w:author="HP" w:date="2018-04-20T14:54:00Z" w:initials="H">
    <w:p w:rsidR="00350D8F" w:rsidRDefault="00350D8F">
      <w:pPr>
        <w:pStyle w:val="a5"/>
      </w:pPr>
      <w:r>
        <w:rPr>
          <w:rStyle w:val="a4"/>
        </w:rPr>
        <w:annotationRef/>
      </w:r>
      <w:r>
        <w:rPr>
          <w:rFonts w:hint="eastAsia"/>
        </w:rPr>
        <w:t>博士论文和书不需要英文。</w:t>
      </w:r>
    </w:p>
  </w:comment>
  <w:comment w:id="7" w:author="HP" w:date="2018-04-20T14:57:00Z" w:initials="H">
    <w:p w:rsidR="00350D8F" w:rsidRDefault="00350D8F" w:rsidP="00350D8F">
      <w:r>
        <w:rPr>
          <w:rStyle w:val="a4"/>
        </w:rPr>
        <w:annotationRef/>
      </w:r>
      <w:r>
        <w:rPr>
          <w:rFonts w:hint="eastAsia"/>
        </w:rPr>
        <w:t>外文文献格式与</w:t>
      </w:r>
      <w:r>
        <w:rPr>
          <w:rFonts w:hint="eastAsia"/>
        </w:rPr>
        <w:t>[1]</w:t>
      </w:r>
      <w:r>
        <w:rPr>
          <w:rFonts w:hint="eastAsia"/>
        </w:rPr>
        <w:t>同。会议用</w:t>
      </w:r>
      <w:r>
        <w:rPr>
          <w:rFonts w:hint="eastAsia"/>
        </w:rPr>
        <w:t>[C]//</w:t>
      </w:r>
      <w:r>
        <w:rPr>
          <w:rFonts w:hint="eastAsia"/>
        </w:rPr>
        <w:t>表示，</w:t>
      </w:r>
    </w:p>
  </w:comment>
  <w:comment w:id="8" w:author="HP" w:date="2018-04-20T14:57:00Z" w:initials="H">
    <w:p w:rsidR="00763040" w:rsidRDefault="00763040">
      <w:pPr>
        <w:pStyle w:val="a5"/>
      </w:pPr>
      <w:r>
        <w:rPr>
          <w:rStyle w:val="a4"/>
        </w:rPr>
        <w:annotationRef/>
      </w:r>
      <w:r>
        <w:rPr>
          <w:rFonts w:hint="eastAsia"/>
        </w:rPr>
        <w:t>期刊文章用</w:t>
      </w:r>
      <w:r>
        <w:rPr>
          <w:rFonts w:hint="eastAsia"/>
        </w:rPr>
        <w:t>[J]</w:t>
      </w:r>
      <w:r>
        <w:rPr>
          <w:rFonts w:hint="eastAsia"/>
        </w:rPr>
        <w:t>表示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F8A" w:rsidRDefault="008A1F8A" w:rsidP="0021361B">
      <w:r>
        <w:separator/>
      </w:r>
    </w:p>
  </w:endnote>
  <w:endnote w:type="continuationSeparator" w:id="0">
    <w:p w:rsidR="008A1F8A" w:rsidRDefault="008A1F8A" w:rsidP="002136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书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方正小标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F8A" w:rsidRDefault="008A1F8A" w:rsidP="0021361B">
      <w:r>
        <w:separator/>
      </w:r>
    </w:p>
  </w:footnote>
  <w:footnote w:type="continuationSeparator" w:id="0">
    <w:p w:rsidR="008A1F8A" w:rsidRDefault="008A1F8A" w:rsidP="002136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82D25"/>
    <w:multiLevelType w:val="multilevel"/>
    <w:tmpl w:val="26B82D25"/>
    <w:lvl w:ilvl="0">
      <w:start w:val="1"/>
      <w:numFmt w:val="decimal"/>
      <w:pStyle w:val="a"/>
      <w:lvlText w:val="%1"/>
      <w:lvlJc w:val="right"/>
      <w:pPr>
        <w:tabs>
          <w:tab w:val="num" w:pos="425"/>
        </w:tabs>
        <w:ind w:left="425" w:hanging="137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num" w:pos="855"/>
        </w:tabs>
        <w:ind w:left="855" w:hanging="435"/>
      </w:pPr>
      <w:rPr>
        <w:rFonts w:hint="eastAsia"/>
      </w:rPr>
    </w:lvl>
    <w:lvl w:ilvl="2">
      <w:start w:val="1"/>
      <w:numFmt w:val="decimal"/>
      <w:lvlText w:val="%3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7D8B9AA"/>
    <w:multiLevelType w:val="multilevel"/>
    <w:tmpl w:val="57D8B9AA"/>
    <w:lvl w:ilvl="0">
      <w:start w:val="1"/>
      <w:numFmt w:val="decimal"/>
      <w:suff w:val="space"/>
      <w:lvlText w:val="[%1]"/>
      <w:lvlJc w:val="left"/>
      <w:pPr>
        <w:tabs>
          <w:tab w:val="num" w:pos="0"/>
        </w:tabs>
        <w:ind w:left="302" w:hanging="30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6456"/>
    <w:rsid w:val="00154AEC"/>
    <w:rsid w:val="0021361B"/>
    <w:rsid w:val="00350D8F"/>
    <w:rsid w:val="00736456"/>
    <w:rsid w:val="00763040"/>
    <w:rsid w:val="007A03B2"/>
    <w:rsid w:val="008A1F8A"/>
    <w:rsid w:val="00B02312"/>
    <w:rsid w:val="00D55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64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table of figures"/>
    <w:basedOn w:val="a0"/>
    <w:next w:val="a0"/>
    <w:semiHidden/>
    <w:rsid w:val="00736456"/>
    <w:pPr>
      <w:numPr>
        <w:numId w:val="1"/>
      </w:numPr>
      <w:tabs>
        <w:tab w:val="left" w:pos="425"/>
      </w:tabs>
      <w:snapToGrid w:val="0"/>
      <w:spacing w:line="230" w:lineRule="exact"/>
    </w:pPr>
    <w:rPr>
      <w:rFonts w:eastAsia="方正书宋简体"/>
      <w:spacing w:val="4"/>
      <w:sz w:val="15"/>
      <w:szCs w:val="20"/>
    </w:rPr>
  </w:style>
  <w:style w:type="paragraph" w:customStyle="1" w:styleId="6">
    <w:name w:val="标题6"/>
    <w:basedOn w:val="a0"/>
    <w:rsid w:val="00736456"/>
    <w:pPr>
      <w:snapToGrid w:val="0"/>
      <w:spacing w:before="160" w:after="40" w:line="245" w:lineRule="auto"/>
      <w:jc w:val="center"/>
      <w:outlineLvl w:val="5"/>
    </w:pPr>
    <w:rPr>
      <w:rFonts w:eastAsia="方正小标宋简体"/>
      <w:spacing w:val="4"/>
      <w:sz w:val="20"/>
      <w:szCs w:val="20"/>
    </w:rPr>
  </w:style>
  <w:style w:type="character" w:styleId="a4">
    <w:name w:val="annotation reference"/>
    <w:basedOn w:val="a1"/>
    <w:uiPriority w:val="99"/>
    <w:semiHidden/>
    <w:unhideWhenUsed/>
    <w:rsid w:val="00736456"/>
    <w:rPr>
      <w:sz w:val="21"/>
      <w:szCs w:val="21"/>
    </w:rPr>
  </w:style>
  <w:style w:type="paragraph" w:styleId="a5">
    <w:name w:val="annotation text"/>
    <w:basedOn w:val="a0"/>
    <w:link w:val="Char"/>
    <w:uiPriority w:val="99"/>
    <w:semiHidden/>
    <w:unhideWhenUsed/>
    <w:rsid w:val="00736456"/>
    <w:pPr>
      <w:jc w:val="left"/>
    </w:pPr>
  </w:style>
  <w:style w:type="character" w:customStyle="1" w:styleId="Char">
    <w:name w:val="批注文字 Char"/>
    <w:basedOn w:val="a1"/>
    <w:link w:val="a5"/>
    <w:uiPriority w:val="99"/>
    <w:semiHidden/>
    <w:rsid w:val="00736456"/>
    <w:rPr>
      <w:rFonts w:ascii="Times New Roman" w:eastAsia="宋体" w:hAnsi="Times New Roman" w:cs="Times New Roman"/>
      <w:szCs w:val="24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36456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736456"/>
    <w:rPr>
      <w:b/>
      <w:bCs/>
    </w:rPr>
  </w:style>
  <w:style w:type="paragraph" w:styleId="a7">
    <w:name w:val="Balloon Text"/>
    <w:basedOn w:val="a0"/>
    <w:link w:val="Char1"/>
    <w:uiPriority w:val="99"/>
    <w:semiHidden/>
    <w:unhideWhenUsed/>
    <w:rsid w:val="00736456"/>
    <w:rPr>
      <w:sz w:val="18"/>
      <w:szCs w:val="18"/>
    </w:rPr>
  </w:style>
  <w:style w:type="character" w:customStyle="1" w:styleId="Char1">
    <w:name w:val="批注框文本 Char"/>
    <w:basedOn w:val="a1"/>
    <w:link w:val="a7"/>
    <w:uiPriority w:val="99"/>
    <w:semiHidden/>
    <w:rsid w:val="00736456"/>
    <w:rPr>
      <w:rFonts w:ascii="Times New Roman" w:eastAsia="宋体" w:hAnsi="Times New Roman" w:cs="Times New Roman"/>
      <w:sz w:val="18"/>
      <w:szCs w:val="18"/>
    </w:rPr>
  </w:style>
  <w:style w:type="paragraph" w:styleId="a8">
    <w:name w:val="header"/>
    <w:basedOn w:val="a0"/>
    <w:link w:val="Char2"/>
    <w:uiPriority w:val="99"/>
    <w:semiHidden/>
    <w:unhideWhenUsed/>
    <w:rsid w:val="002136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1"/>
    <w:link w:val="a8"/>
    <w:uiPriority w:val="99"/>
    <w:semiHidden/>
    <w:rsid w:val="0021361B"/>
    <w:rPr>
      <w:rFonts w:ascii="Times New Roman" w:eastAsia="宋体" w:hAnsi="Times New Roman" w:cs="Times New Roman"/>
      <w:sz w:val="18"/>
      <w:szCs w:val="18"/>
    </w:rPr>
  </w:style>
  <w:style w:type="paragraph" w:styleId="a9">
    <w:name w:val="footer"/>
    <w:basedOn w:val="a0"/>
    <w:link w:val="Char3"/>
    <w:uiPriority w:val="99"/>
    <w:semiHidden/>
    <w:unhideWhenUsed/>
    <w:rsid w:val="002136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1"/>
    <w:link w:val="a9"/>
    <w:uiPriority w:val="99"/>
    <w:semiHidden/>
    <w:rsid w:val="0021361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>HP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2018-04-20T07:01:00Z</dcterms:created>
  <dcterms:modified xsi:type="dcterms:W3CDTF">2018-04-20T07:01:00Z</dcterms:modified>
</cp:coreProperties>
</file>